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193</w:t>
      </w:r>
    </w:p>
    <w:p>
      <w:r>
        <w:t>Bundesgericht (BGE), 1974-08-26, DE</w:t>
      </w:r>
    </w:p>
    <w:p>
      <w:r>
        <w:rPr>
          <w:b/>
        </w:rPr>
        <w:t xml:space="preserve">Quelle: </w:t>
      </w:r>
      <w:r>
        <w:t>https://mcp.opencaselaw.ch/entscheid/bge_100 IV 193</w:t>
      </w:r>
    </w:p>
    <w:p>
      <w:r>
        <w:t>FR: ATF 100 IV 193</w:t>
      </w:r>
    </w:p>
    <w:p>
      <w:r>
        <w:t>IT: DTF 100 IV 193</w:t>
      </w:r>
    </w:p>
    <w:p>
      <w:pPr>
        <w:pStyle w:val="Heading2"/>
      </w:pPr>
      <w:r>
        <w:t>Regeste</w:t>
      </w:r>
    </w:p>
    <w:p>
      <w:r>
        <w:t>Regeste Art. 41 Ziff. 1 Abs. 1 StGB. Bedingter Strafvollzug bei Fahren in angetrunkenem Zustand. 1. Voraussage über das künftige Verhalten im allgemeinen (Erw. 1). 2. Besondere Umstände, welche trotz kurzfristiger Rückfälligkeit die erneute Gewährung des bedingten Strafvollzuges rechtfertigen (Erw. 2).</w:t>
      </w:r>
    </w:p>
    <w:p>
      <w:pPr>
        <w:pStyle w:val="Heading2"/>
      </w:pPr>
      <w:r>
        <w:t>Erwägungen</w:t>
      </w:r>
    </w:p>
    <w:p>
      <w:r>
        <w:rPr>
          <w:b/>
        </w:rPr>
        <w:t>E. 1</w:t>
      </w:r>
    </w:p>
    <w:p>
      <w:r>
        <w:t>Der bedingte Strafvollzug setzt unter anderem voraus, dass Vorleben und Charakter des Verurteilten erwarten lassen, er werde durch diese Massnahme von weiteren Verbrechen oder Vergehen abgehalten werden ( Art. 41 Ziff. 1 StGB ). Ob sich diese Erwartung rechtfertigt, ist im einzelnen Fall eine Frage des Ermessens, in das der Kassationshof auf Nichtigkeitsbeschwerde nur eingreift, wenn der kantonale Richter es überschritten, d.h. seine Voraussage auf offensichtlich unhaltbare Überlegungen gestützt hat ( BGE 77 IV 142 ). Nach ständiger Rechtsprechung des Bundesgerichts überschreitet der kantonale Richter das ihm zustehende Ermessen nicht, wenn er einem Verurteilten den bedingten Strafvollzug verweigert, weil ihm dieser früher bereits einmal zugebilligt BGE 100 IV 193 S. 195 worden war, ohne dass ihn dies von erneuter Straffälligkeit dauernd abgehalten hätte (KH vom 17. Dezember 1963 i.S. Trachsel S. 2 und vom 18. November 1966 i.S. Engelberger S. 4). Diese Erwägung gilt besonders, wenn die neue Tat gleicher oder ähnlicher Art ist wie die frühere. In solchen Fällen ist eine günstige Prognose ausgeschlossen. Auch die Vorinstanz geht davon aus, dass in einer Lage wie der vorliegenden in der Regel eine erneute Anwendung von Art. 41 Ziff. 1 und 49 Ziff. 4 StGB nicht in Frage kommt; denn sie verweist ausdrücklich auf ihre Praxis, wonach in solchen Fällen im allgemeinen der bedingte Strafvollzug verweigert wird. Dass der Beschwerdegegner dennoch zu einer bedingt vollziehbaren Strafe verurteilt wurde, begründet die Vorinstanz damit, ganz besondere Umstände vermöchten ein Abweichen von der erwähnten Regel zu rechtfertigen. Da die Beschwerdeführerin bestreitet, dass solche Umstände gegeben seien, hat der Kassationshof die Haltbarkeit der vorinstanzlichen Argumentation auf Ermessensüberschreitung hin zu überprüfen.</w:t>
      </w:r>
    </w:p>
    <w:p>
      <w:r>
        <w:rPr>
          <w:b/>
        </w:rPr>
        <w:t>E. 2</w:t>
      </w:r>
    </w:p>
    <w:p>
      <w:r>
        <w:t>a) Die Vorinstanz stellt zunächst fest, die beiden kurz aufeinanderfolgenden Delikte seien zwar als Ausfluss einer im Moment der Tatbegehung beim sehr jungen Beschwerdegegner noch bestehenden Unreife und leichten Beeinflussbarkeit anzusehen. Doch bestehe im Zeitpunkt der Urteilsfällung "begründete Aussicht", dass dieser seine Unreife inzwischen überwunden und eine erheblich stärkere Widerstandskraft gegenüber dem Alkohol entwickelt habe. Diese Erkenntnis wird vor allem damit begründet, dass der Beschwerdegegner sich nach dem Zeugnis seiner militärischen Vorgesetzten während der Rekrutenschule des Alkohols enthalten und seit der neuen Verfehlung nach dem Zeugnis zweier Arbeitskollegen in der gemeinsam verbrachten Freizeit nie Alkohol zu sich genommen hat, was ihm den Übernamen "Thé-crème" eingetragen haben soll. Die Vorinstanz durfte diese Gesinnungsänderung bei der Beurteilung der Prognose positiv in Rechnung stellen, ohne ihr Ermessen zu überschreiten. b) Wesentlich ist auch die Feststellung, dass die zweite Verfehlung auf einer "ausgesprochenen Versuchungssituation" beruht habe. Es sei damals in Gelterkinden Fasnacht gewesen, eine Zeit, in der der Genuss von Alkohol in Restaurants beinahe BGE 100 IV 193 S. 196 gesellschaftlich obligatorisch gewesen sei. Der Beschwerdegegner habe auch glaubwürdig erklärt, unter Hinweis auf sein mitgeführtes Auto den gespendeten Alkohol, den man einfach vor ihn hingestellt habe, zunächst abgelehnt zu haben. Dann sei er aber von seinen Kollegen geradezu gedrängt worden, ebenfalls zu trinken. Diesem Einfluss sei er schliesslich erlegen. Soweit es sich hier um von der Vorinstanz als glaubwürdig betrachtete Angaben des Beschwerdegegners handelt, sind diese Feststellungen für den Kassationshof verbindlich ( Art. 277 bis Abs. 1 BStP ). Wenn die Vorinstanz die erwähnten Umstände als aussergewöhnlich bezeichnet, die eine positive Prognose nicht ausschlössen, hat sie ihr Ermessen nicht überschritten. Auch der Kassationshof hat von seiner strengen Rechtsprechung zur Frage des bedingten Strafvollzuges bei angetrunkenen Motorfahrzeugführern seit jeher den Fall ausgenommen, wo der fehlbare Automobilist von Kameraden zu übermässigem Alkoholkonsum eigentlich gedrängt wurde ( BGE 90 IV 261 und BGE 88 IV 7 mit weiteren Präjudizien). c) Zu beachten ist ferner, dass die Vorinstanz gleichzeitig den dem Beschwerdegegner am 11. Dezember 1972 für die Haftstrafe von 4 Wochen zugebilligten bedingten Strafvollzug widerrufen hat. Diesen Umstand durfte sie bei der Prognose für die neue Strafe berücksichtigen. Denn wenn anlässlich eines Widerrufes des bedingten Strafvollzuges gemäss Art. 41 Ziff. 3 StGB dem Strafrichter nicht verwehrt ist, dem Umstand Rechnung zu tragen, dass die neue Strafe unbedingt ausgefällt wird ( BGE 99 IV 68 ff.), muss umgekehrt bei der Prognosestellung aufgrund von Art. 41 Ziff. 1 StGB auch erlaubt sein, den Umstand zu beachten, dass die frühere Strafe nachträglich vollstreckt wird. Die Vorinstanz hat somit das ihr zustehende Ermessen nicht überschritten, wenn sie von der Überzeugung ausging, der Vollzug der früheren Freiheitsstrafe von 4 Wochen Haft werde den Beschwerdegegner von weiteren Delikten abhalten.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